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D" w:rsidRPr="006D2D3D" w:rsidRDefault="006D2D3D" w:rsidP="006D2D3D">
      <w:pPr>
        <w:spacing w:after="240" w:line="240" w:lineRule="auto"/>
        <w:jc w:val="center"/>
        <w:outlineLvl w:val="0"/>
        <w:rPr>
          <w:rFonts w:ascii="PT Serif" w:eastAsia="Times New Roman" w:hAnsi="PT Serif" w:cs="Times New Roman"/>
          <w:b/>
          <w:bCs/>
          <w:color w:val="131313"/>
          <w:kern w:val="36"/>
          <w:sz w:val="45"/>
          <w:szCs w:val="45"/>
          <w:lang w:eastAsia="ru-RU"/>
        </w:rPr>
      </w:pPr>
      <w:r w:rsidRPr="006D2D3D">
        <w:rPr>
          <w:rFonts w:ascii="PT Serif" w:eastAsia="Times New Roman" w:hAnsi="PT Serif" w:cs="Times New Roman"/>
          <w:b/>
          <w:bCs/>
          <w:color w:val="131313"/>
          <w:kern w:val="36"/>
          <w:sz w:val="45"/>
          <w:szCs w:val="45"/>
          <w:u w:val="single"/>
          <w:lang w:eastAsia="ru-RU"/>
        </w:rPr>
        <w:t>Правила внутреннего распорядка для пациентов МАУ «ЦГКБ № 24»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   В соответствии с Федеральным законом от 21.11.2011 № 323-ФЗ «Об основах охраны здоровья граждан в Российской Федерации» (ст. 27) 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Согласно ст. 19 Федерального закона от 21.11.2011 № 323-ФЗ «Об основах охраны здоровья граждан в Российской Федерации»</w:t>
      </w:r>
    </w:p>
    <w:p w:rsidR="006D2D3D" w:rsidRPr="006D2D3D" w:rsidRDefault="006D2D3D" w:rsidP="006D2D3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Пациент имеет право на</w:t>
      </w: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выбор медицинской организации и выбор врача (с учетом согласия врача);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уважительное и гуманное отношение со стороны работников и других лиц, участвующих в оказании медицинской помощи;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получение консультаций врачей-специалистов;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на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получение лечебного питания в случае нахождения пациента на лечении в стационаре;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защиту сведений, составляющих врачебную тайну;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10.  отказ от медицинского вмешательства;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11. возмещение вреда, причиненного здоровью при оказании ему медицинской помощи;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12. допуск к нему адвоката или законного представителя для защиты своих прав;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13.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14. также пациент имеет право на получение платных медицинских услуг в соответствии с действующим Прейскурантом цен на медицинские услуги, оказываемые на платной основе в МАУ «ЦГКБ №  24»;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15. в случае нарушения прав пациент может обратиться с жалобой к заведующему отделением, к руководителю учреждения, в вышестоящие органы либо в суд.</w:t>
      </w:r>
    </w:p>
    <w:p w:rsidR="006D2D3D" w:rsidRPr="006D2D3D" w:rsidRDefault="006D2D3D" w:rsidP="006D2D3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Пациент обязан</w:t>
      </w: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принимать меры к сохранению и укреплению своего здоровья;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соблюдать внутренний распорядок работы больницы, тишину, чистоту и порядок;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строжайшим образом выполнять требования и рекомендации лечащего врача;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в случаях крайней необходимости покинуть отделение или учреждение (для оформления документов, решения вопросов регистрации и т.п.) в письменной форме согласовывать время и продолжительность отсутствия с лечащим врачом или заведующим отделением, поставить в известность дежурную медицинскую сестру;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 xml:space="preserve">7. исполнять требования пожарной безопасности при  обнаружении источников пожара, иных 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источников, угрожающих общественной безопасности, пациент должен немедленно сообщить об этом дежурному персоналу;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сотрудничать с врачом на всех этапах оказания медицинской помощи;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бережно относиться к имуществу больницы и других пациентов;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10. являться на прием к врачу в назначенные дни и часы;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11. соблюдать лечебно-охранительный режим, предписанный лечащим врачом;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12. при отказе от какого-либо медицинского вмешательства, пациент оформляет письменный добровольный отказ.</w:t>
      </w:r>
    </w:p>
    <w:p w:rsidR="006D2D3D" w:rsidRPr="006D2D3D" w:rsidRDefault="006D2D3D" w:rsidP="006D2D3D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В помещениях больницы запрещается: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курение в зданиях, помещениях, а также на территории ЛПУ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распитие спиртных напитков, употребление наркотических средств, психотропных и токсических веществ;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играть в азартные игры;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нахождение в верхней одежде, без сменной обуви (бахил);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проносить и хранить в палатах верхнюю одежду и обувь;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громко разговаривать, шуметь;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на территории ЛПУ применять пиротехнические средства (петарды, фейерверки, хлопушки);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пользоваться мобильной связью при нахождении на приеме у врача, во время выполнения процедур, манипуляций, обследования;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10. выбрасывание мусора, отходов в непредназначенные для этого места;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11. 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12. хранить пищевые продукты без упаковок, без указания фамилии пациента, а также с истекшим сроком годности;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13. покидать отделение после отбоя (22.00), без разрешения лечащего врача покидать отделение в часы дневного отдыха (15.00-17.00).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За нарушение режима и правил внутреннего распорядка больницы пациента могут выписать досрочно и/или с соответствующей отметкой в листке нетрудоспособности.</w:t>
      </w:r>
    </w:p>
    <w:p w:rsidR="006D2D3D" w:rsidRPr="006D2D3D" w:rsidRDefault="006D2D3D" w:rsidP="006D2D3D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Нарушением считается</w:t>
      </w: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курение в зданиях, помещения, а также на территории больницы;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 употребление пациентом веществ, способных привести к алкогольному или наркотическому опьянению;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 грубое или неуважительное отношение пациента к медицинскому персоналу;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нарушение пациентом режима дня, утвержденного в отделении;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несоблюдение пациентом рекомендаций врача и предписанного режима;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прием пациентом лекарственных препаратов по собственному усмотрению;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самовольный уход пациента из стационара;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 лечение в другом учреждении без ведома и разрешения лечащего врача;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отказ от направления или несвоевременная явка на ВКК или ВТЭК.</w:t>
      </w:r>
    </w:p>
    <w:p w:rsidR="006D2D3D" w:rsidRPr="006D2D3D" w:rsidRDefault="006D2D3D" w:rsidP="006D2D3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Продукты и вещи, разрешенные для передачи пациентам и их законным представителям, находящимся в отделениях ЛПУ: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1.продукты питания: фрукты (зеленые яблоки, бананы), мытые кипяченой водой, свежие овощи, мытые кипяченой водой,  сок в фабричной упаковке, минеральная вода в фабричной упаковке,  фруктовые конфеты (карамель), зефир, пастила, мармелад,  печенье (галетное, сухое), сухари, сушки, бублики, булочки (не сдобные),  кефир в фабричной упаковке,  сыр нежирный, твердый,  чай (в пакетиках),  сахар;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2.предметы ухода (зубная щетка, зубная паста, мыло, расческа, туалетная бумага, салфетки, подгузники, чашка, ложка);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3.настольные игры, карандаши, фломастеры, бумага, книги, журналы.</w:t>
      </w:r>
    </w:p>
    <w:p w:rsidR="006D2D3D" w:rsidRPr="006D2D3D" w:rsidRDefault="006D2D3D" w:rsidP="006D2D3D">
      <w:pPr>
        <w:numPr>
          <w:ilvl w:val="0"/>
          <w:numId w:val="6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Запрещенные для передачи продукты и вещи: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1.Молочные и кисломолочные продукты без фабричной упаковки;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2.Газированные напитки (кока-кола, фанта и др.), соленые и маринованные овощи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3.Шоколад, чипсы, арбузы, дыни, экзотические фрукты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4.Консервы (рыбные, мясные, овощные), паштеты, студни, пельмени, блины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5.Колбасные и мясные изделия, яйца, куры, икра, соленая рыба, морепродукты, грибы, ягоды.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6.Салаты, супы, вторые блюда домашнего приготовления, мороженое, торты, пирожные, кремовые изделия, алкогольная продукция, табачные изделия, жевательная резинка.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7.Острые предметы: ножи, ножницы, иглы, спицы, вилки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8.Электронагревательные приборы, кипятильники.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i/>
          <w:iCs/>
          <w:color w:val="131313"/>
          <w:sz w:val="21"/>
          <w:szCs w:val="21"/>
          <w:lang w:eastAsia="ru-RU"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6D2D3D" w:rsidRPr="006D2D3D" w:rsidRDefault="006D2D3D" w:rsidP="006D2D3D">
      <w:pPr>
        <w:numPr>
          <w:ilvl w:val="0"/>
          <w:numId w:val="7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Правила внутреннего распорядка для пациентов стационарных отделений МАУ «Центральной городской клинической больницы № 24» </w:t>
      </w:r>
    </w:p>
    <w:p w:rsidR="006D2D3D" w:rsidRPr="006D2D3D" w:rsidRDefault="006D2D3D" w:rsidP="006D2D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1.Все пациенты поступают на стационарное лечение через приемное отделение, где они осматриваются врачом, проходят санитарную обработку; в истории болезни заполняется паспортная часть, проводится осмотр дежурного врача приёмного отделения, составляется план обследования и лечения.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2.Верхнюю одежду, обувь, а также документы, деньги и ценные вещи пациенты сдают при поступлении дежурному уборщику производственных помещений приемного отделения  под расписку,  в соответствии с инструкцией по приему, учету, хранению и выдаче вещей,  денег, денежных документов  и  ценностей,  принадлежащих больным, утвержденной приказом  МАУ  «ЦГБ № 24» в 2014 году. За несданные вещи, деньги, ценности, документы  (оставленные  при себе) администрация больницы ответственность не несет.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3.Пациенты в период пребывания в стационарных отделениях больницы на лечении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обязаны: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соблюдать установленный в отделении режим дня (подъем, туалет, прием пищи, отход ко сну);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если позволяет состояние здоровья, самостоятельно убирать и содержать в чистоте и порядке  свою кровать и прикроватную тумбочку;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выполнять назначения лечащего врача;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находиться в палате во время обхода врача и измерения температуры;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не нарушать тишину в палате, отделении;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при выходе из палаты надевать пижаму (халат), туфли;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- бережно обращаться с оборудованием, больничным инвентарем и имуществом, включая, грузовые больничные и пассажирский одиночный лифты; в случае его порчи по вине пациента, пациент несет материальную ответственность;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использовать грузовой больничный лифт в терапевтическом  и хирургическом корпусе только в присутствии лифтера;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соблюдать запрет на перевозку в грузовом  больничном лифте терапевтического корпуса ходячих пациентов. Перевозке в таком лифте  подлежат только пациенты, находящиеся на каталках, носилках,  в инвалидных креслах; 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соблюдать чистоту в кабинах лифтов, не допускать превышение количества лиц, которые могут быть перевезены одновременно в  одиночном пассажирском лифте терапевтического корпуса.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  4. Пациентам отделений   </w:t>
      </w: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t>запрещается: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уходить из отделения без разрешения  лечащего врача или заведующего отделением;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хранить в отделении и употреблять спиртные напитки, наркотические и иные психотропные и токсические вещества;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иметь и хранить в отделении  огнестрельное, газовое и холодное оружие;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курить в палате, в любых помещениях и на территории больницы, играть в азартные игры;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пользоваться бельем и подушками свободных коек в палате;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бросать мусор из окна, в унитазы, писсуары, раковины для умывания;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сидеть на подоконниках, высовываться и переговариваться через окна;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выходить в вестибюль для свидания с посетителями, родственниками в часы, не установленные для посещения;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ходить по отделению после отхода ко сну;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-пациентам, не имеющим  ограничений возможности передвижения, использовать грузовой  больничный лифт в терапевтическом корпусе;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пользоваться грузовым больничным лифтом хирургического корпуса без сопровождения лифтера;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перевозить в грузовом больничном лифте  терапевтического и хирургического корпуса   пациентов на каталках, носилках, в инвалидных креслах без сопровождения медицинского персонала;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курить и провозить в кабине лифта опасные для жизни вещества, которые легко воспламеняются, взрываются либо химически опасны, ядовиты;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пытаться открыть двери кабины и лифтовой шахты вручную, самостоятельно;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 использовать лифты для передвижения при пожаре.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Несоблюдение положений настоящего раздела пациентами медицинского учреждения приравнивается к нарушению внутрибольничного режима и влечет досрочную выписку из стационара.</w:t>
      </w:r>
    </w:p>
    <w:p w:rsidR="006D2D3D" w:rsidRPr="006D2D3D" w:rsidRDefault="006D2D3D" w:rsidP="006D2D3D">
      <w:pPr>
        <w:numPr>
          <w:ilvl w:val="0"/>
          <w:numId w:val="8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b/>
          <w:bCs/>
          <w:color w:val="131313"/>
          <w:sz w:val="21"/>
          <w:szCs w:val="21"/>
          <w:u w:val="single"/>
          <w:lang w:eastAsia="ru-RU"/>
        </w:rPr>
        <w:lastRenderedPageBreak/>
        <w:t>Правила посещения пациентов в МАУ «ЦГКБ № 24»: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1.Посещение пациентов, находящихся на лечении в круглосуточном стационаре, родственниками и знакомыми допускаются лишь в установленные дни  и часы.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случае тяжелого состояния больного, посещение его в палате допускается с разрешения лечащего врача,  заведующего отделением или дежурного врача (по пропуску).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2.В будние дни посещение пациентов разрешается с 17.00 до 19.00 часов;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субботние и воскресные дни посещение пациентов разрешается с 11.00 до 13.00 часов дополнительно.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Родственники пациентов стационарных отделений имеют право встречаться с лечащим врачом отделения по пятницам с 13.00 до 15.00 часов по предварительной договоренности по телефону через справочное бюро 297-92-82.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3.Посещение пациентов родственниками возможно как в палате, так и в специализированных помещениях – холлах корпусов или отделений в  будние дни с 17.00 до 19.00 часов, в субботние и воскресные дни посещение пациентов разрешается с 11.00 до 13.00 часов дополнительно. Посещение пациентов в  «тихий час» с 15.00 до 17.00 запрещено. Пропуск посетителей в отделения осуществляется строго по пропускам.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4. В больнице может быть введено дополнительное ограничение посещений в связи с сезонными вспышками инфекционных заболеваний.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5. Посещение пациентов в отделении реанимации и интенсивной терапии запрещено.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6. Постоянно по уходу за тяжелобольным пациентом может находиться только один из законных представителей;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7. Родственникам, осуществляющим уход за пациентами, запрещено свободное перемещение по другим палатам и отделениям ЛПУ;</w:t>
      </w: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9. При карантине, введенном в ЛПУ в связи  с сезонными вспышками, передачи для пациентов стационаров принимают в приемном отделении  корпуса, где проходит лечение пациент. Передачи передаются в полиэтиленовых пакетах с указанием ФИО пациента, номера отделения, номера палаты, списка передаваемых вещей.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10.Обо всех претензиях, недовольствах по обслуживанию пациентов, не вступая в пререкания и споры с персоналом отделения, заявляют старшей медсестре отделения, лечащему врачу или заведующему отделением. Возможно письменное изложение пациентами отделений претензий, просьб, жалоб в книге письменных обращений (находящейся у старшей медсестры отделения).</w:t>
      </w:r>
    </w:p>
    <w:p w:rsidR="006D2D3D" w:rsidRPr="006D2D3D" w:rsidRDefault="006D2D3D" w:rsidP="006D2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6D2D3D" w:rsidRPr="006D2D3D" w:rsidRDefault="006D2D3D" w:rsidP="006D2D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6D2D3D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AD6223" w:rsidRDefault="00AD6223">
      <w:bookmarkStart w:id="0" w:name="_GoBack"/>
      <w:bookmarkEnd w:id="0"/>
    </w:p>
    <w:sectPr w:rsidR="00AD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D"/>
    <w:multiLevelType w:val="multilevel"/>
    <w:tmpl w:val="B9E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04FEF"/>
    <w:multiLevelType w:val="multilevel"/>
    <w:tmpl w:val="7F7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5406A"/>
    <w:multiLevelType w:val="multilevel"/>
    <w:tmpl w:val="CF8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B1AF8"/>
    <w:multiLevelType w:val="multilevel"/>
    <w:tmpl w:val="CA0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9241E"/>
    <w:multiLevelType w:val="multilevel"/>
    <w:tmpl w:val="B32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C0440"/>
    <w:multiLevelType w:val="multilevel"/>
    <w:tmpl w:val="63A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24D9D"/>
    <w:multiLevelType w:val="multilevel"/>
    <w:tmpl w:val="7FA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E48B3"/>
    <w:multiLevelType w:val="multilevel"/>
    <w:tmpl w:val="5A3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3D"/>
    <w:rsid w:val="006D2D3D"/>
    <w:rsid w:val="00A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D906-C306-494B-AE01-8F35963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2019-09-29T16:11:00Z</dcterms:created>
  <dcterms:modified xsi:type="dcterms:W3CDTF">2019-09-29T16:11:00Z</dcterms:modified>
</cp:coreProperties>
</file>